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896A" w14:textId="78BF007F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南高ＳＴＥＡＭによる授業デザイン案・指導略案</w:t>
      </w:r>
    </w:p>
    <w:p w14:paraId="7792F4B3" w14:textId="77777777" w:rsidR="00EE2003" w:rsidRDefault="00EE2003" w:rsidP="00494B1E">
      <w:pPr>
        <w:jc w:val="center"/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14:paraId="79215CE7" w14:textId="77777777" w:rsidTr="00FE388C">
        <w:tc>
          <w:tcPr>
            <w:tcW w:w="2075" w:type="dxa"/>
          </w:tcPr>
          <w:p w14:paraId="4CC8DA98" w14:textId="54D019F5" w:rsidR="00A73AB4" w:rsidRDefault="00095D76" w:rsidP="00EE2003">
            <w:bookmarkStart w:id="0" w:name="_Hlk136278691"/>
            <w:r>
              <w:rPr>
                <w:rFonts w:hint="eastAsia"/>
              </w:rPr>
              <w:t xml:space="preserve">主に　</w:t>
            </w:r>
            <w:r w:rsidR="00EE2003" w:rsidRPr="00EE2003">
              <w:rPr>
                <w:rFonts w:hint="eastAsia"/>
                <w:sz w:val="44"/>
                <w:szCs w:val="48"/>
              </w:rPr>
              <w:t>②</w:t>
            </w:r>
            <w:r w:rsidR="007D4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488FEA7E" w14:textId="4A5A22BB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57438CD6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5076D049" w14:textId="50F92F28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EE2003" w14:paraId="109CD436" w14:textId="77777777" w:rsidTr="005547D4">
        <w:tc>
          <w:tcPr>
            <w:tcW w:w="2075" w:type="dxa"/>
            <w:vAlign w:val="center"/>
          </w:tcPr>
          <w:p w14:paraId="0FF608B3" w14:textId="2523F1FA" w:rsidR="00EE2003" w:rsidRDefault="00EE2003" w:rsidP="00DB0C55">
            <w:r w:rsidRPr="00F92472">
              <w:rPr>
                <w:rFonts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  <w:vAlign w:val="center"/>
          </w:tcPr>
          <w:p w14:paraId="63BACECF" w14:textId="2AAEE81E" w:rsidR="00EE2003" w:rsidRDefault="00EE2003" w:rsidP="00EE2003">
            <w:r>
              <w:rPr>
                <w:rFonts w:hint="eastAsia"/>
              </w:rPr>
              <w:t>３年生理系</w:t>
            </w:r>
            <w:bookmarkStart w:id="1" w:name="_GoBack"/>
            <w:bookmarkEnd w:id="1"/>
          </w:p>
        </w:tc>
      </w:tr>
      <w:tr w:rsidR="00DB0C55" w14:paraId="0B378DE2" w14:textId="77777777" w:rsidTr="00FE388C">
        <w:tc>
          <w:tcPr>
            <w:tcW w:w="2075" w:type="dxa"/>
          </w:tcPr>
          <w:p w14:paraId="24999BC5" w14:textId="36CEAACF" w:rsidR="00DB0C55" w:rsidRDefault="00DB0C55" w:rsidP="00DB0C55">
            <w:r>
              <w:rPr>
                <w:rFonts w:hint="eastAsia"/>
              </w:rPr>
              <w:t>授業（科目）</w:t>
            </w:r>
          </w:p>
        </w:tc>
        <w:tc>
          <w:tcPr>
            <w:tcW w:w="7667" w:type="dxa"/>
            <w:gridSpan w:val="2"/>
          </w:tcPr>
          <w:p w14:paraId="33F9A4E4" w14:textId="3F267831" w:rsidR="00DB0C55" w:rsidRDefault="00DB0C55" w:rsidP="00DB0C55">
            <w:r>
              <w:rPr>
                <w:rFonts w:hint="eastAsia"/>
              </w:rPr>
              <w:t>生物</w:t>
            </w:r>
          </w:p>
        </w:tc>
      </w:tr>
      <w:tr w:rsidR="00DB0C55" w14:paraId="31C2F4C2" w14:textId="77777777" w:rsidTr="00FE388C">
        <w:tc>
          <w:tcPr>
            <w:tcW w:w="2075" w:type="dxa"/>
          </w:tcPr>
          <w:p w14:paraId="18BBFB3D" w14:textId="11C6439B" w:rsidR="00DB0C55" w:rsidRDefault="00DB0C55" w:rsidP="006F5297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296F66AE" w14:textId="1955F5E0" w:rsidR="00DB0C55" w:rsidRDefault="00DB0C55" w:rsidP="006F5297">
            <w:r>
              <w:rPr>
                <w:rFonts w:hint="eastAsia"/>
              </w:rPr>
              <w:t>バイオテクノロジー（PCR法と電気泳動を利用した植物の類縁関係の分析）</w:t>
            </w:r>
          </w:p>
        </w:tc>
      </w:tr>
      <w:tr w:rsidR="00DB0C55" w14:paraId="4D83F7E6" w14:textId="77777777" w:rsidTr="00FE388C">
        <w:trPr>
          <w:trHeight w:val="309"/>
        </w:trPr>
        <w:tc>
          <w:tcPr>
            <w:tcW w:w="2075" w:type="dxa"/>
            <w:vMerge w:val="restart"/>
          </w:tcPr>
          <w:p w14:paraId="3BDC8444" w14:textId="0C82E89F" w:rsidR="00DB0C55" w:rsidRDefault="00DB0C55" w:rsidP="00DB0C55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Pr="0057279D">
              <w:rPr>
                <w:rFonts w:hint="eastAsia"/>
              </w:rPr>
              <w:t>（</w:t>
            </w:r>
            <w:r>
              <w:rPr>
                <w:rFonts w:hint="eastAsia"/>
              </w:rPr>
              <w:t>下記の</w:t>
            </w:r>
            <w:r w:rsidRPr="0057279D">
              <w:rPr>
                <w:rFonts w:hint="eastAsia"/>
              </w:rPr>
              <w:t>ﾏｽﾀｰﾙｰﾌﾞﾘｯｸから</w:t>
            </w:r>
            <w:r>
              <w:rPr>
                <w:rFonts w:hint="eastAsia"/>
              </w:rPr>
              <w:t>転記</w:t>
            </w:r>
            <w:r w:rsidRPr="0057279D">
              <w:rPr>
                <w:rFonts w:hint="eastAsia"/>
              </w:rPr>
              <w:t>）</w:t>
            </w:r>
          </w:p>
        </w:tc>
        <w:tc>
          <w:tcPr>
            <w:tcW w:w="2427" w:type="dxa"/>
          </w:tcPr>
          <w:p w14:paraId="15CAF9D3" w14:textId="5110C0F7" w:rsidR="00DB0C55" w:rsidRPr="0017219E" w:rsidRDefault="00DB0C55" w:rsidP="00DB0C55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5240" w:type="dxa"/>
          </w:tcPr>
          <w:p w14:paraId="26DED451" w14:textId="0AC7B194" w:rsidR="00DB0C55" w:rsidRDefault="00DB0C55" w:rsidP="00DB0C55">
            <w:r>
              <w:rPr>
                <w:rFonts w:hint="eastAsia"/>
              </w:rPr>
              <w:t>①</w:t>
            </w:r>
            <w:r w:rsidRPr="00B42260">
              <w:rPr>
                <w:rFonts w:hint="eastAsia"/>
              </w:rPr>
              <w:t>学ぶ意義</w:t>
            </w:r>
          </w:p>
        </w:tc>
      </w:tr>
      <w:tr w:rsidR="00DB0C55" w14:paraId="73928A16" w14:textId="77777777" w:rsidTr="00FE388C">
        <w:trPr>
          <w:trHeight w:val="306"/>
        </w:trPr>
        <w:tc>
          <w:tcPr>
            <w:tcW w:w="2075" w:type="dxa"/>
            <w:vMerge/>
          </w:tcPr>
          <w:p w14:paraId="5ACA0F8A" w14:textId="77777777" w:rsidR="00DB0C55" w:rsidRDefault="00DB0C55" w:rsidP="00DB0C55"/>
        </w:tc>
        <w:tc>
          <w:tcPr>
            <w:tcW w:w="2427" w:type="dxa"/>
          </w:tcPr>
          <w:p w14:paraId="14C30AEF" w14:textId="29F4392F" w:rsidR="00DB0C55" w:rsidRPr="0017219E" w:rsidRDefault="00DB0C55" w:rsidP="00DB0C55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5240" w:type="dxa"/>
          </w:tcPr>
          <w:p w14:paraId="19873896" w14:textId="19427F51" w:rsidR="00DB0C55" w:rsidRDefault="00DB0C55" w:rsidP="00DB0C55">
            <w:r>
              <w:rPr>
                <w:rFonts w:hint="eastAsia"/>
              </w:rPr>
              <w:t>②</w:t>
            </w:r>
            <w:r w:rsidRPr="00B42260">
              <w:rPr>
                <w:rFonts w:hint="eastAsia"/>
              </w:rPr>
              <w:t>研究手法の獲得</w:t>
            </w:r>
            <w:r>
              <w:rPr>
                <w:rFonts w:hint="eastAsia"/>
              </w:rPr>
              <w:t xml:space="preserve">　③</w:t>
            </w:r>
            <w:r w:rsidRPr="00B42260">
              <w:rPr>
                <w:rFonts w:hint="eastAsia"/>
              </w:rPr>
              <w:t>創意工夫</w:t>
            </w:r>
          </w:p>
        </w:tc>
      </w:tr>
      <w:tr w:rsidR="00DB0C55" w14:paraId="44AF255A" w14:textId="77777777" w:rsidTr="00FE388C">
        <w:trPr>
          <w:trHeight w:val="306"/>
        </w:trPr>
        <w:tc>
          <w:tcPr>
            <w:tcW w:w="2075" w:type="dxa"/>
            <w:vMerge/>
          </w:tcPr>
          <w:p w14:paraId="57C865A7" w14:textId="77777777" w:rsidR="00DB0C55" w:rsidRDefault="00DB0C55" w:rsidP="00DB0C55"/>
        </w:tc>
        <w:tc>
          <w:tcPr>
            <w:tcW w:w="2427" w:type="dxa"/>
          </w:tcPr>
          <w:p w14:paraId="3DF094A8" w14:textId="271B0598" w:rsidR="00DB0C55" w:rsidRPr="0017219E" w:rsidRDefault="00DB0C55" w:rsidP="00DB0C55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5240" w:type="dxa"/>
          </w:tcPr>
          <w:p w14:paraId="5183B477" w14:textId="52B2506A" w:rsidR="00DB0C55" w:rsidRDefault="00DB0C55" w:rsidP="00DB0C55">
            <w:r>
              <w:rPr>
                <w:rFonts w:hint="eastAsia"/>
              </w:rPr>
              <w:t>②</w:t>
            </w:r>
            <w:r w:rsidRPr="00B42260">
              <w:rPr>
                <w:rFonts w:hint="eastAsia"/>
              </w:rPr>
              <w:t>対話・議論</w:t>
            </w:r>
            <w:r>
              <w:rPr>
                <w:rFonts w:hint="eastAsia"/>
              </w:rPr>
              <w:t xml:space="preserve">　③</w:t>
            </w:r>
            <w:r w:rsidRPr="00B42260">
              <w:rPr>
                <w:rFonts w:hint="eastAsia"/>
              </w:rPr>
              <w:t>発表・発信</w:t>
            </w:r>
          </w:p>
        </w:tc>
      </w:tr>
      <w:tr w:rsidR="00DB0C55" w14:paraId="107C646E" w14:textId="77777777" w:rsidTr="00FE388C">
        <w:trPr>
          <w:trHeight w:val="306"/>
        </w:trPr>
        <w:tc>
          <w:tcPr>
            <w:tcW w:w="2075" w:type="dxa"/>
            <w:vMerge/>
          </w:tcPr>
          <w:p w14:paraId="0E38CBA9" w14:textId="77777777" w:rsidR="00DB0C55" w:rsidRDefault="00DB0C55" w:rsidP="00DB0C55"/>
        </w:tc>
        <w:tc>
          <w:tcPr>
            <w:tcW w:w="2427" w:type="dxa"/>
          </w:tcPr>
          <w:p w14:paraId="33E9BD54" w14:textId="3C74763B" w:rsidR="00DB0C55" w:rsidRPr="0017219E" w:rsidRDefault="00DB0C55" w:rsidP="00DB0C55">
            <w:pPr>
              <w:rPr>
                <w:rFonts w:ascii="ＭＳ ゴシック" w:eastAsia="ＭＳ ゴシック" w:hAnsi="ＭＳ ゴシック"/>
                <w:i/>
                <w:iCs/>
              </w:rPr>
            </w:pPr>
          </w:p>
        </w:tc>
        <w:tc>
          <w:tcPr>
            <w:tcW w:w="5240" w:type="dxa"/>
          </w:tcPr>
          <w:p w14:paraId="29111C6E" w14:textId="03D278E4" w:rsidR="00DB0C55" w:rsidRDefault="00DB0C55" w:rsidP="00DB0C55"/>
        </w:tc>
      </w:tr>
      <w:tr w:rsidR="00DB0C55" w14:paraId="59FAB668" w14:textId="77777777" w:rsidTr="00FE388C">
        <w:tc>
          <w:tcPr>
            <w:tcW w:w="2075" w:type="dxa"/>
          </w:tcPr>
          <w:p w14:paraId="0F2599D8" w14:textId="05323EE3" w:rsidR="00DB0C55" w:rsidRPr="00AE4E15" w:rsidRDefault="00DB0C55" w:rsidP="00DB0C55">
            <w:r w:rsidRPr="00AE4E15">
              <w:rPr>
                <w:rFonts w:hint="eastAsia"/>
              </w:rPr>
              <w:t>南高STEAMの視点</w:t>
            </w:r>
          </w:p>
          <w:p w14:paraId="79201D1E" w14:textId="753B4AA3" w:rsidR="00DB0C55" w:rsidRPr="00AE4E15" w:rsidRDefault="00DB0C55" w:rsidP="00DB0C55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452FE897" w14:textId="505C8F7E" w:rsidR="00DB0C55" w:rsidRPr="0017219E" w:rsidRDefault="00DB0C55" w:rsidP="00DB0C55">
            <w:r>
              <w:rPr>
                <w:rFonts w:hint="eastAsia"/>
              </w:rPr>
              <w:t xml:space="preserve">　生徒はバイオテクノロジーのPCR法や電気泳動の手法を身に付けるとともに、実験結果から植物の類縁関係について、進化についても関連付けながら考察する。また、植物の類縁関係の分析をさらに深く行うためには、どのような実験を追加すればよいかを検討し、開き合うことで自身のバイオテクノロジーを利用する探究能力を向上させる。</w:t>
            </w:r>
          </w:p>
        </w:tc>
      </w:tr>
      <w:bookmarkEnd w:id="0"/>
    </w:tbl>
    <w:p w14:paraId="5042F4F4" w14:textId="77777777" w:rsidR="00AE4E15" w:rsidRPr="00AE4E15" w:rsidRDefault="00AE4E15"/>
    <w:p w14:paraId="7779B6AE" w14:textId="04A1DA5E" w:rsidR="0017219E" w:rsidRDefault="0017219E">
      <w:bookmarkStart w:id="2" w:name="_Hlk136278889"/>
      <w:r>
        <w:rPr>
          <w:rFonts w:hint="eastAsia"/>
        </w:rPr>
        <w:t>指導略案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3107"/>
        <w:gridCol w:w="3123"/>
        <w:gridCol w:w="2428"/>
      </w:tblGrid>
      <w:tr w:rsidR="00881EFB" w14:paraId="3B163ACC" w14:textId="77777777" w:rsidTr="00D66BE2">
        <w:tc>
          <w:tcPr>
            <w:tcW w:w="1084" w:type="dxa"/>
          </w:tcPr>
          <w:bookmarkEnd w:id="2"/>
          <w:p w14:paraId="25E78D99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107" w:type="dxa"/>
          </w:tcPr>
          <w:p w14:paraId="3F2FE7B2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3123" w:type="dxa"/>
          </w:tcPr>
          <w:p w14:paraId="2BD86B96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428" w:type="dxa"/>
          </w:tcPr>
          <w:p w14:paraId="28A41DC1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881EFB" w14:paraId="1EFD082D" w14:textId="77777777" w:rsidTr="00D66BE2">
        <w:tc>
          <w:tcPr>
            <w:tcW w:w="1084" w:type="dxa"/>
          </w:tcPr>
          <w:p w14:paraId="31048942" w14:textId="32E06817" w:rsidR="00F92472" w:rsidRDefault="007711C9">
            <w:r>
              <w:rPr>
                <w:rFonts w:hint="eastAsia"/>
              </w:rPr>
              <w:t>導入</w:t>
            </w:r>
          </w:p>
          <w:p w14:paraId="239AD688" w14:textId="0A41E580" w:rsidR="0057279D" w:rsidRDefault="007711C9">
            <w:r>
              <w:rPr>
                <w:rFonts w:hint="eastAsia"/>
              </w:rPr>
              <w:t>（5分）</w:t>
            </w:r>
          </w:p>
          <w:p w14:paraId="5EDA7B19" w14:textId="52BFCFFC" w:rsidR="0057279D" w:rsidRDefault="0057279D"/>
        </w:tc>
        <w:tc>
          <w:tcPr>
            <w:tcW w:w="3107" w:type="dxa"/>
          </w:tcPr>
          <w:p w14:paraId="58D9BB93" w14:textId="091D3AC2" w:rsidR="00F92472" w:rsidRDefault="007711C9" w:rsidP="006F5297">
            <w:pPr>
              <w:ind w:firstLineChars="100" w:firstLine="210"/>
            </w:pPr>
            <w:r>
              <w:rPr>
                <w:rFonts w:hint="eastAsia"/>
              </w:rPr>
              <w:t>前時までに行った実験の振り返りを行う。（全体）</w:t>
            </w:r>
          </w:p>
        </w:tc>
        <w:tc>
          <w:tcPr>
            <w:tcW w:w="3123" w:type="dxa"/>
          </w:tcPr>
          <w:p w14:paraId="27152AA6" w14:textId="27C6662C" w:rsidR="00F92472" w:rsidRPr="00F92472" w:rsidRDefault="007711C9" w:rsidP="006F5297">
            <w:pPr>
              <w:ind w:firstLineChars="100" w:firstLine="210"/>
            </w:pPr>
            <w:r>
              <w:rPr>
                <w:rFonts w:hint="eastAsia"/>
              </w:rPr>
              <w:t>PCR法と電気泳動法について、実験操作などを振り返るよう促す。</w:t>
            </w:r>
          </w:p>
        </w:tc>
        <w:tc>
          <w:tcPr>
            <w:tcW w:w="2428" w:type="dxa"/>
          </w:tcPr>
          <w:p w14:paraId="3B3FF093" w14:textId="798C7C95" w:rsidR="00F92472" w:rsidRDefault="00D66BE2">
            <w:r>
              <w:rPr>
                <w:rFonts w:hint="eastAsia"/>
              </w:rPr>
              <w:t xml:space="preserve">　PCR法と電気泳動法の知識の定着を図る。</w:t>
            </w:r>
          </w:p>
        </w:tc>
      </w:tr>
      <w:tr w:rsidR="00881EFB" w14:paraId="5923BCB3" w14:textId="77777777" w:rsidTr="00D66BE2">
        <w:tc>
          <w:tcPr>
            <w:tcW w:w="1084" w:type="dxa"/>
          </w:tcPr>
          <w:p w14:paraId="03593E74" w14:textId="1D77C377" w:rsidR="0057279D" w:rsidRDefault="007711C9">
            <w:r>
              <w:rPr>
                <w:rFonts w:hint="eastAsia"/>
              </w:rPr>
              <w:t>実験結果の解析と考察</w:t>
            </w:r>
            <w:r w:rsidR="006F5297">
              <w:rPr>
                <w:rFonts w:hint="eastAsia"/>
              </w:rPr>
              <w:t>①</w:t>
            </w:r>
          </w:p>
          <w:p w14:paraId="6C2F78D7" w14:textId="46CD5C05" w:rsidR="0057279D" w:rsidRDefault="00881EFB">
            <w:r>
              <w:rPr>
                <w:rFonts w:hint="eastAsia"/>
              </w:rPr>
              <w:t>（20分）</w:t>
            </w:r>
          </w:p>
        </w:tc>
        <w:tc>
          <w:tcPr>
            <w:tcW w:w="3107" w:type="dxa"/>
          </w:tcPr>
          <w:p w14:paraId="12E84E01" w14:textId="76BD4AC3" w:rsidR="00837BA2" w:rsidRDefault="007711C9" w:rsidP="00837BA2">
            <w:pPr>
              <w:ind w:firstLineChars="100" w:firstLine="210"/>
            </w:pPr>
            <w:r>
              <w:rPr>
                <w:rFonts w:hint="eastAsia"/>
              </w:rPr>
              <w:t>電気泳動後、染色したゲルの写真から、増幅されたDNA断片の大きさ（塩基対）を求め、植物の類縁関係との相関関係があるかを考察</w:t>
            </w:r>
            <w:r w:rsidR="006F5297">
              <w:rPr>
                <w:rFonts w:hint="eastAsia"/>
              </w:rPr>
              <w:t>し、協議</w:t>
            </w:r>
            <w:r>
              <w:rPr>
                <w:rFonts w:hint="eastAsia"/>
              </w:rPr>
              <w:t>する。</w:t>
            </w:r>
            <w:r w:rsidR="006F5297">
              <w:rPr>
                <w:rFonts w:hint="eastAsia"/>
              </w:rPr>
              <w:t>（各班）</w:t>
            </w:r>
            <w:r w:rsidR="00837BA2">
              <w:rPr>
                <w:rFonts w:hint="eastAsia"/>
              </w:rPr>
              <w:t>→全体で共有</w:t>
            </w:r>
          </w:p>
        </w:tc>
        <w:tc>
          <w:tcPr>
            <w:tcW w:w="3123" w:type="dxa"/>
          </w:tcPr>
          <w:p w14:paraId="3159ADA8" w14:textId="77777777" w:rsidR="006F5297" w:rsidRDefault="007711C9" w:rsidP="006F5297">
            <w:pPr>
              <w:ind w:firstLineChars="100" w:firstLine="210"/>
            </w:pPr>
            <w:r>
              <w:rPr>
                <w:rFonts w:hint="eastAsia"/>
              </w:rPr>
              <w:t>撮影したゲルの写真を印刷したものを生徒に配付し、DNA断片の大きさの求め方を説明する。</w:t>
            </w:r>
          </w:p>
          <w:p w14:paraId="5A5102C6" w14:textId="4F1FE426" w:rsidR="007711C9" w:rsidRDefault="00D66BE2" w:rsidP="006F5297">
            <w:pPr>
              <w:ind w:firstLineChars="100" w:firstLine="210"/>
            </w:pPr>
            <w:r>
              <w:rPr>
                <w:rFonts w:hint="eastAsia"/>
              </w:rPr>
              <w:t>植物の類縁関係と関連するかについての考察を促す。</w:t>
            </w:r>
          </w:p>
        </w:tc>
        <w:tc>
          <w:tcPr>
            <w:tcW w:w="2428" w:type="dxa"/>
          </w:tcPr>
          <w:p w14:paraId="709682C5" w14:textId="4B3E0EF1" w:rsidR="00F92472" w:rsidRDefault="00D66BE2" w:rsidP="00F92472">
            <w:r>
              <w:rPr>
                <w:rFonts w:hint="eastAsia"/>
              </w:rPr>
              <w:t xml:space="preserve">　実験キットの説明書に掲載されている実験結果の例まで含めて、検討するよう促す。</w:t>
            </w:r>
          </w:p>
        </w:tc>
      </w:tr>
      <w:tr w:rsidR="00D66BE2" w14:paraId="3A5276C2" w14:textId="77777777" w:rsidTr="00D66BE2">
        <w:tc>
          <w:tcPr>
            <w:tcW w:w="1084" w:type="dxa"/>
          </w:tcPr>
          <w:p w14:paraId="6388BCAA" w14:textId="01DEB624" w:rsidR="00D66BE2" w:rsidRDefault="00D66BE2" w:rsidP="00D66BE2">
            <w:r>
              <w:rPr>
                <w:rFonts w:hint="eastAsia"/>
              </w:rPr>
              <w:t>考察②</w:t>
            </w:r>
          </w:p>
          <w:p w14:paraId="4B0AF69E" w14:textId="0E90A499" w:rsidR="00D66BE2" w:rsidRDefault="00D66BE2" w:rsidP="00D66BE2">
            <w:r>
              <w:rPr>
                <w:rFonts w:hint="eastAsia"/>
              </w:rPr>
              <w:t>（15分）</w:t>
            </w:r>
          </w:p>
        </w:tc>
        <w:tc>
          <w:tcPr>
            <w:tcW w:w="3107" w:type="dxa"/>
          </w:tcPr>
          <w:p w14:paraId="612C9F88" w14:textId="77777777" w:rsidR="00D66BE2" w:rsidRDefault="00D66BE2" w:rsidP="00D66BE2">
            <w:r>
              <w:rPr>
                <w:rFonts w:hint="eastAsia"/>
              </w:rPr>
              <w:t xml:space="preserve">　DNA断片が増幅されなかったサンプルについて、原因についてどのような可能性があるか考察し、協議する。</w:t>
            </w:r>
          </w:p>
          <w:p w14:paraId="03DA21EF" w14:textId="07FD023B" w:rsidR="00D66BE2" w:rsidRDefault="00D66BE2" w:rsidP="00D66BE2">
            <w:r>
              <w:rPr>
                <w:rFonts w:hint="eastAsia"/>
              </w:rPr>
              <w:t>（各班）→全体で共有</w:t>
            </w:r>
          </w:p>
        </w:tc>
        <w:tc>
          <w:tcPr>
            <w:tcW w:w="3123" w:type="dxa"/>
          </w:tcPr>
          <w:p w14:paraId="2C00B5E0" w14:textId="2F689CF4" w:rsidR="00D66BE2" w:rsidRDefault="00D66BE2" w:rsidP="00D66BE2">
            <w:r>
              <w:rPr>
                <w:rFonts w:hint="eastAsia"/>
              </w:rPr>
              <w:t xml:space="preserve">　DNA断片が増幅されていないサンプルについて、その原因を考察するよう促す。</w:t>
            </w:r>
          </w:p>
        </w:tc>
        <w:tc>
          <w:tcPr>
            <w:tcW w:w="2428" w:type="dxa"/>
          </w:tcPr>
          <w:p w14:paraId="69389253" w14:textId="5723010B" w:rsidR="00D66BE2" w:rsidRDefault="00D66BE2" w:rsidP="00D66BE2">
            <w:r>
              <w:rPr>
                <w:rFonts w:hint="eastAsia"/>
              </w:rPr>
              <w:t xml:space="preserve">　考察や協議が進まない様子の班があれば、考えるポイントを伝え、協議を促す。</w:t>
            </w:r>
          </w:p>
        </w:tc>
      </w:tr>
      <w:tr w:rsidR="00D66BE2" w14:paraId="661E222C" w14:textId="77777777" w:rsidTr="00D66BE2">
        <w:trPr>
          <w:trHeight w:val="1774"/>
        </w:trPr>
        <w:tc>
          <w:tcPr>
            <w:tcW w:w="1084" w:type="dxa"/>
          </w:tcPr>
          <w:p w14:paraId="0F16BC29" w14:textId="77777777" w:rsidR="00D66BE2" w:rsidRDefault="00D66BE2" w:rsidP="00D66BE2">
            <w:r>
              <w:rPr>
                <w:rFonts w:hint="eastAsia"/>
              </w:rPr>
              <w:t>追加する実験についての検討</w:t>
            </w:r>
          </w:p>
          <w:p w14:paraId="370CAB47" w14:textId="18CD17CC" w:rsidR="00D66BE2" w:rsidRDefault="00D66BE2" w:rsidP="00D66BE2">
            <w:r>
              <w:rPr>
                <w:rFonts w:hint="eastAsia"/>
              </w:rPr>
              <w:t>（10分）</w:t>
            </w:r>
          </w:p>
        </w:tc>
        <w:tc>
          <w:tcPr>
            <w:tcW w:w="3107" w:type="dxa"/>
          </w:tcPr>
          <w:p w14:paraId="31661E6A" w14:textId="77777777" w:rsidR="00D66BE2" w:rsidRDefault="00D66BE2" w:rsidP="00D66BE2">
            <w:r>
              <w:rPr>
                <w:rFonts w:hint="eastAsia"/>
              </w:rPr>
              <w:t xml:space="preserve">　植物の類縁関係について、より詳しく解析したいとき、どのような実験を追加すればよいか検討する。</w:t>
            </w:r>
          </w:p>
          <w:p w14:paraId="7C139031" w14:textId="104B3CBF" w:rsidR="00D66BE2" w:rsidRDefault="00D66BE2" w:rsidP="00D66BE2">
            <w:r>
              <w:rPr>
                <w:rFonts w:hint="eastAsia"/>
              </w:rPr>
              <w:t>（各班）→全体で共有</w:t>
            </w:r>
          </w:p>
        </w:tc>
        <w:tc>
          <w:tcPr>
            <w:tcW w:w="3123" w:type="dxa"/>
          </w:tcPr>
          <w:p w14:paraId="6EA168DB" w14:textId="6706B62F" w:rsidR="00D66BE2" w:rsidRDefault="00D66BE2" w:rsidP="00D66BE2">
            <w:r>
              <w:rPr>
                <w:rFonts w:hint="eastAsia"/>
              </w:rPr>
              <w:t xml:space="preserve">　バイオテクノロジーの分野で学習した知識や技術について振り返らせ、検討が進むよう支援する。様々な研究分野での活用例なども紹介する。</w:t>
            </w:r>
          </w:p>
        </w:tc>
        <w:tc>
          <w:tcPr>
            <w:tcW w:w="2428" w:type="dxa"/>
          </w:tcPr>
          <w:p w14:paraId="41409843" w14:textId="034E8C04" w:rsidR="00D66BE2" w:rsidRDefault="00D66BE2" w:rsidP="00D66BE2">
            <w:r>
              <w:rPr>
                <w:rFonts w:hint="eastAsia"/>
              </w:rPr>
              <w:t xml:space="preserve">　各自が大学で研究したい分野にバイオテクノロジーの活用が結び付けられるような声かけを心がける。</w:t>
            </w:r>
          </w:p>
        </w:tc>
      </w:tr>
    </w:tbl>
    <w:p w14:paraId="4EA9E113" w14:textId="77777777" w:rsidR="00EE2003" w:rsidRDefault="00EE2003" w:rsidP="00494B1E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color w:val="000000" w:themeColor="text1"/>
          <w:kern w:val="24"/>
          <w:sz w:val="20"/>
          <w:szCs w:val="20"/>
        </w:rPr>
      </w:pPr>
    </w:p>
    <w:p w14:paraId="37EE1EFF" w14:textId="5BC27907" w:rsidR="00494B1E" w:rsidRPr="0037453D" w:rsidRDefault="00494B1E" w:rsidP="00494B1E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sz w:val="10"/>
          <w:szCs w:val="10"/>
        </w:rPr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lastRenderedPageBreak/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494B1E" w:rsidRPr="00951436" w14:paraId="1D59E5D3" w14:textId="77777777" w:rsidTr="004255A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F86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34A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494B1E" w:rsidRPr="00951436" w14:paraId="17AB8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814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7DE4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494B1E" w:rsidRPr="00951436" w14:paraId="13FD0DE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BE2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9B6A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494B1E" w:rsidRPr="00951436" w14:paraId="6179A34E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E29B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3B0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494B1E" w:rsidRPr="00951436" w14:paraId="660C496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DBC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1F1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494B1E" w:rsidRPr="00951436" w14:paraId="3E429F7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617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C76E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494B1E" w:rsidRPr="00951436" w14:paraId="39834EF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FADC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9BF8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494B1E" w:rsidRPr="00951436" w14:paraId="6EB8F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135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3153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7CF00744" w14:textId="77777777" w:rsidR="00F92472" w:rsidRDefault="00F92472" w:rsidP="00494B1E">
      <w:pPr>
        <w:jc w:val="center"/>
      </w:pPr>
    </w:p>
    <w:sectPr w:rsidR="00F92472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29A6F" w14:textId="77777777" w:rsidR="003A2BE6" w:rsidRDefault="003A2BE6" w:rsidP="0017219E">
      <w:r>
        <w:separator/>
      </w:r>
    </w:p>
  </w:endnote>
  <w:endnote w:type="continuationSeparator" w:id="0">
    <w:p w14:paraId="1870F2CE" w14:textId="77777777" w:rsidR="003A2BE6" w:rsidRDefault="003A2BE6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2F7B" w14:textId="77777777" w:rsidR="003A2BE6" w:rsidRDefault="003A2BE6" w:rsidP="0017219E">
      <w:r>
        <w:separator/>
      </w:r>
    </w:p>
  </w:footnote>
  <w:footnote w:type="continuationSeparator" w:id="0">
    <w:p w14:paraId="21F470A4" w14:textId="77777777" w:rsidR="003A2BE6" w:rsidRDefault="003A2BE6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700E8"/>
    <w:rsid w:val="00082BAD"/>
    <w:rsid w:val="00095D76"/>
    <w:rsid w:val="0017219E"/>
    <w:rsid w:val="001820CF"/>
    <w:rsid w:val="0037453D"/>
    <w:rsid w:val="00397A8D"/>
    <w:rsid w:val="003A2BE6"/>
    <w:rsid w:val="00494B1E"/>
    <w:rsid w:val="0057279D"/>
    <w:rsid w:val="006F5297"/>
    <w:rsid w:val="00751E9C"/>
    <w:rsid w:val="00760ECD"/>
    <w:rsid w:val="007711C9"/>
    <w:rsid w:val="007D4B0F"/>
    <w:rsid w:val="00837BA2"/>
    <w:rsid w:val="00881EFB"/>
    <w:rsid w:val="00951436"/>
    <w:rsid w:val="00A73AB4"/>
    <w:rsid w:val="00AE4E15"/>
    <w:rsid w:val="00B200D2"/>
    <w:rsid w:val="00B70BF5"/>
    <w:rsid w:val="00B770BD"/>
    <w:rsid w:val="00D537F5"/>
    <w:rsid w:val="00D66BE2"/>
    <w:rsid w:val="00D908CE"/>
    <w:rsid w:val="00DA3B0A"/>
    <w:rsid w:val="00DB0C55"/>
    <w:rsid w:val="00E456F2"/>
    <w:rsid w:val="00EB4E58"/>
    <w:rsid w:val="00ED30FE"/>
    <w:rsid w:val="00EE2003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岡田寛子</cp:lastModifiedBy>
  <cp:revision>3</cp:revision>
  <cp:lastPrinted>2025-03-04T08:56:00Z</cp:lastPrinted>
  <dcterms:created xsi:type="dcterms:W3CDTF">2025-03-04T08:55:00Z</dcterms:created>
  <dcterms:modified xsi:type="dcterms:W3CDTF">2025-03-04T08:59:00Z</dcterms:modified>
</cp:coreProperties>
</file>