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455"/>
        <w:tblW w:w="0" w:type="auto"/>
        <w:tblLook w:val="04A0" w:firstRow="1" w:lastRow="0" w:firstColumn="1" w:lastColumn="0" w:noHBand="0" w:noVBand="1"/>
      </w:tblPr>
      <w:tblGrid>
        <w:gridCol w:w="2075"/>
        <w:gridCol w:w="2882"/>
        <w:gridCol w:w="4785"/>
      </w:tblGrid>
      <w:tr w:rsidR="00B0223B" w14:paraId="3C6C3246" w14:textId="77777777" w:rsidTr="00B0223B">
        <w:tc>
          <w:tcPr>
            <w:tcW w:w="2075" w:type="dxa"/>
          </w:tcPr>
          <w:p w14:paraId="3D843BC2" w14:textId="77777777" w:rsidR="00B0223B" w:rsidRDefault="00B0223B" w:rsidP="00B0223B">
            <w:r>
              <w:rPr>
                <w:rFonts w:hint="eastAsia"/>
              </w:rPr>
              <w:t>主に</w:t>
            </w:r>
          </w:p>
          <w:p w14:paraId="23B4647D" w14:textId="26D6135C" w:rsidR="00B0223B" w:rsidRDefault="00AA35F2" w:rsidP="00AA35F2">
            <w:pPr>
              <w:ind w:firstLineChars="100" w:firstLine="400"/>
            </w:pPr>
            <w:r w:rsidRPr="009F2046">
              <w:rPr>
                <w:rFonts w:hint="eastAsia"/>
                <w:sz w:val="40"/>
                <w:szCs w:val="44"/>
              </w:rPr>
              <w:t>①</w:t>
            </w:r>
            <w:r w:rsidR="00B0223B">
              <w:rPr>
                <w:rFonts w:hint="eastAsia"/>
              </w:rPr>
              <w:t xml:space="preserve">　　番</w:t>
            </w:r>
          </w:p>
        </w:tc>
        <w:tc>
          <w:tcPr>
            <w:tcW w:w="7667" w:type="dxa"/>
            <w:gridSpan w:val="2"/>
          </w:tcPr>
          <w:p w14:paraId="5A7FCECC" w14:textId="77777777" w:rsidR="00B0223B" w:rsidRDefault="00B0223B" w:rsidP="00B0223B">
            <w:r>
              <w:rPr>
                <w:rFonts w:hint="eastAsia"/>
              </w:rPr>
              <w:t>①教科横断型授業（異教科間のリレー授業・コラボ授業）</w:t>
            </w:r>
          </w:p>
          <w:p w14:paraId="742D5B92" w14:textId="77777777" w:rsidR="00B0223B" w:rsidRDefault="00B0223B" w:rsidP="00B0223B">
            <w:r>
              <w:rPr>
                <w:rFonts w:hint="eastAsia"/>
              </w:rPr>
              <w:t>②探究学習型授業（探究学習プロセスのいずれかの段階を踏まえた授業）</w:t>
            </w:r>
          </w:p>
          <w:p w14:paraId="0B1EECB9" w14:textId="77777777" w:rsidR="00B0223B" w:rsidRDefault="00B0223B" w:rsidP="00B0223B">
            <w:r>
              <w:rPr>
                <w:rFonts w:hint="eastAsia"/>
              </w:rPr>
              <w:t>③学習到達度を意識した授業（c</w:t>
            </w:r>
            <w:r>
              <w:t>an-do</w:t>
            </w:r>
            <w:r>
              <w:rPr>
                <w:rFonts w:hint="eastAsia"/>
              </w:rPr>
              <w:t>・</w:t>
            </w:r>
            <w:r>
              <w:t>to-do</w:t>
            </w:r>
            <w:r>
              <w:rPr>
                <w:rFonts w:hint="eastAsia"/>
              </w:rPr>
              <w:t>リストを活用した授業）</w:t>
            </w:r>
          </w:p>
        </w:tc>
      </w:tr>
      <w:tr w:rsidR="00826A8D" w14:paraId="0471970B" w14:textId="77777777" w:rsidTr="00826A8D">
        <w:trPr>
          <w:trHeight w:val="313"/>
        </w:trPr>
        <w:tc>
          <w:tcPr>
            <w:tcW w:w="2075" w:type="dxa"/>
          </w:tcPr>
          <w:p w14:paraId="1DD182B2" w14:textId="5CCF2B9C" w:rsidR="00826A8D" w:rsidRDefault="00826A8D" w:rsidP="00B0223B">
            <w:r>
              <w:rPr>
                <w:rFonts w:hint="eastAsia"/>
              </w:rPr>
              <w:t>対象</w:t>
            </w:r>
          </w:p>
        </w:tc>
        <w:tc>
          <w:tcPr>
            <w:tcW w:w="7667" w:type="dxa"/>
            <w:gridSpan w:val="2"/>
          </w:tcPr>
          <w:p w14:paraId="1ECB9DCD" w14:textId="410E2211" w:rsidR="00826A8D" w:rsidRDefault="00826A8D" w:rsidP="00826A8D">
            <w:pPr>
              <w:jc w:val="left"/>
            </w:pPr>
            <w:r>
              <w:rPr>
                <w:rFonts w:hint="eastAsia"/>
              </w:rPr>
              <w:t>2年文系（キャリア特進コース）</w:t>
            </w:r>
          </w:p>
        </w:tc>
      </w:tr>
      <w:tr w:rsidR="00B0223B" w14:paraId="720D6A40" w14:textId="77777777" w:rsidTr="00B0223B">
        <w:tc>
          <w:tcPr>
            <w:tcW w:w="2075" w:type="dxa"/>
          </w:tcPr>
          <w:p w14:paraId="0EC156FB" w14:textId="77777777" w:rsidR="00B0223B" w:rsidRDefault="00B0223B" w:rsidP="00B0223B">
            <w:r>
              <w:rPr>
                <w:rFonts w:hint="eastAsia"/>
              </w:rPr>
              <w:t>教科（科目）</w:t>
            </w:r>
          </w:p>
        </w:tc>
        <w:tc>
          <w:tcPr>
            <w:tcW w:w="7667" w:type="dxa"/>
            <w:gridSpan w:val="2"/>
          </w:tcPr>
          <w:p w14:paraId="2A329867" w14:textId="5504CAD2" w:rsidR="00B0223B" w:rsidRDefault="00AA35F2" w:rsidP="00B0223B">
            <w:r>
              <w:rPr>
                <w:rFonts w:hint="eastAsia"/>
              </w:rPr>
              <w:t>化学基礎（酸と塩基）</w:t>
            </w:r>
            <w:r w:rsidR="00826A8D">
              <w:rPr>
                <w:rFonts w:hint="eastAsia"/>
              </w:rPr>
              <w:t>×</w:t>
            </w:r>
            <w:r>
              <w:rPr>
                <w:rFonts w:hint="eastAsia"/>
              </w:rPr>
              <w:t>数学（指数対数）</w:t>
            </w:r>
          </w:p>
        </w:tc>
      </w:tr>
      <w:tr w:rsidR="00B0223B" w14:paraId="4A510383" w14:textId="77777777" w:rsidTr="00B0223B">
        <w:trPr>
          <w:trHeight w:val="816"/>
        </w:trPr>
        <w:tc>
          <w:tcPr>
            <w:tcW w:w="2075" w:type="dxa"/>
          </w:tcPr>
          <w:p w14:paraId="07B21A5B" w14:textId="6B133D4F" w:rsidR="00B0223B" w:rsidRDefault="00B0223B" w:rsidP="00B0223B">
            <w:r>
              <w:rPr>
                <w:rFonts w:hint="eastAsia"/>
              </w:rPr>
              <w:t>授業の</w:t>
            </w:r>
            <w:r w:rsidR="0063514D">
              <w:rPr>
                <w:rFonts w:hint="eastAsia"/>
              </w:rPr>
              <w:t>目標</w:t>
            </w:r>
          </w:p>
        </w:tc>
        <w:tc>
          <w:tcPr>
            <w:tcW w:w="7667" w:type="dxa"/>
            <w:gridSpan w:val="2"/>
          </w:tcPr>
          <w:p w14:paraId="41B455B3" w14:textId="77777777" w:rsidR="00AA35F2" w:rsidRDefault="00AA35F2" w:rsidP="00AA35F2">
            <w:r>
              <w:rPr>
                <w:rFonts w:hint="eastAsia"/>
              </w:rPr>
              <w:t>酸・塩基の定義および水素イオン濃度を復習した上で、</w:t>
            </w:r>
          </w:p>
          <w:p w14:paraId="56A9C756" w14:textId="3E489CA1" w:rsidR="00B0223B" w:rsidRDefault="00AA35F2" w:rsidP="00AA35F2">
            <w:r>
              <w:rPr>
                <w:rFonts w:hint="eastAsia"/>
              </w:rPr>
              <w:t>水素イオン濃度と</w:t>
            </w:r>
            <w:r>
              <w:t>pHの関係を数学的に捉え、pHの数値の意味を説明できる</w:t>
            </w:r>
          </w:p>
        </w:tc>
      </w:tr>
      <w:tr w:rsidR="00B0223B" w:rsidRPr="00D83A7B" w14:paraId="7432AFA4" w14:textId="77777777" w:rsidTr="00B0223B">
        <w:trPr>
          <w:trHeight w:val="843"/>
        </w:trPr>
        <w:tc>
          <w:tcPr>
            <w:tcW w:w="2075" w:type="dxa"/>
          </w:tcPr>
          <w:p w14:paraId="21008731" w14:textId="77777777" w:rsidR="00B0223B" w:rsidRDefault="00B0223B" w:rsidP="00B0223B">
            <w:r>
              <w:rPr>
                <w:rFonts w:hint="eastAsia"/>
              </w:rPr>
              <w:t>内容</w:t>
            </w:r>
          </w:p>
        </w:tc>
        <w:tc>
          <w:tcPr>
            <w:tcW w:w="7667" w:type="dxa"/>
            <w:gridSpan w:val="2"/>
          </w:tcPr>
          <w:p w14:paraId="2C4F2B08" w14:textId="522CF992" w:rsidR="00AA35F2" w:rsidRDefault="007B788B" w:rsidP="00AA35F2">
            <w:r>
              <w:rPr>
                <w:rFonts w:hint="eastAsia"/>
              </w:rPr>
              <w:t>酸・塩基および水素イオン濃度を復習し、水素イオン濃度と</w:t>
            </w:r>
            <w:r>
              <w:t>pHの関係を指数・対数の考え方を用いて捉え、pHの数値の意味を説明できるようにする。</w:t>
            </w:r>
          </w:p>
        </w:tc>
      </w:tr>
      <w:tr w:rsidR="00B0223B" w14:paraId="5564F199" w14:textId="77777777" w:rsidTr="00AA35F2">
        <w:trPr>
          <w:trHeight w:val="309"/>
        </w:trPr>
        <w:tc>
          <w:tcPr>
            <w:tcW w:w="2075" w:type="dxa"/>
            <w:vMerge w:val="restart"/>
          </w:tcPr>
          <w:p w14:paraId="57890955" w14:textId="77777777" w:rsidR="00B0223B" w:rsidRDefault="00B0223B" w:rsidP="00B0223B">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882" w:type="dxa"/>
          </w:tcPr>
          <w:p w14:paraId="3F37EB4E" w14:textId="671C43B5" w:rsidR="00B0223B" w:rsidRPr="00614B55" w:rsidRDefault="00AA35F2" w:rsidP="00B0223B">
            <w:pPr>
              <w:rPr>
                <w:rFonts w:asciiTheme="majorEastAsia" w:eastAsiaTheme="majorEastAsia" w:hAnsiTheme="majorEastAsia"/>
                <w:iCs/>
              </w:rPr>
            </w:pPr>
            <w:r>
              <w:rPr>
                <w:rFonts w:asciiTheme="majorEastAsia" w:eastAsiaTheme="majorEastAsia" w:hAnsiTheme="majorEastAsia" w:hint="eastAsia"/>
                <w:iCs/>
              </w:rPr>
              <w:t>B学びに向かう姿勢</w:t>
            </w:r>
          </w:p>
        </w:tc>
        <w:tc>
          <w:tcPr>
            <w:tcW w:w="4785" w:type="dxa"/>
          </w:tcPr>
          <w:p w14:paraId="5F4AD89D" w14:textId="12B6FC06" w:rsidR="00B0223B" w:rsidRDefault="00117923" w:rsidP="00B0223B">
            <w:r>
              <w:rPr>
                <w:rFonts w:asciiTheme="majorEastAsia" w:eastAsiaTheme="majorEastAsia" w:hAnsiTheme="majorEastAsia" w:cs="ＭＳ Ｐゴシック" w:hint="eastAsia"/>
                <w:color w:val="000000"/>
                <w:kern w:val="0"/>
                <w:sz w:val="20"/>
                <w:szCs w:val="20"/>
              </w:rPr>
              <w:t>①</w:t>
            </w:r>
            <w:r w:rsidRPr="001121CC">
              <w:rPr>
                <w:rFonts w:asciiTheme="majorEastAsia" w:eastAsiaTheme="majorEastAsia" w:hAnsiTheme="majorEastAsia" w:cs="ＭＳ Ｐゴシック" w:hint="eastAsia"/>
                <w:color w:val="000000"/>
                <w:kern w:val="0"/>
                <w:sz w:val="20"/>
                <w:szCs w:val="20"/>
              </w:rPr>
              <w:t>学ぶ意義</w:t>
            </w:r>
          </w:p>
        </w:tc>
      </w:tr>
      <w:tr w:rsidR="00B0223B" w14:paraId="02411D58" w14:textId="77777777" w:rsidTr="00AA35F2">
        <w:trPr>
          <w:trHeight w:val="306"/>
        </w:trPr>
        <w:tc>
          <w:tcPr>
            <w:tcW w:w="2075" w:type="dxa"/>
            <w:vMerge/>
          </w:tcPr>
          <w:p w14:paraId="1C95705F" w14:textId="77777777" w:rsidR="00B0223B" w:rsidRDefault="00B0223B" w:rsidP="00B0223B"/>
        </w:tc>
        <w:tc>
          <w:tcPr>
            <w:tcW w:w="2882" w:type="dxa"/>
          </w:tcPr>
          <w:p w14:paraId="2C04B4AB" w14:textId="475971F8" w:rsidR="00B0223B" w:rsidRPr="00614B55" w:rsidRDefault="00AA35F2" w:rsidP="00B0223B">
            <w:pPr>
              <w:rPr>
                <w:rFonts w:asciiTheme="majorEastAsia" w:eastAsiaTheme="majorEastAsia" w:hAnsiTheme="majorEastAsia"/>
                <w:iCs/>
              </w:rPr>
            </w:pPr>
            <w:r>
              <w:rPr>
                <w:rFonts w:asciiTheme="majorEastAsia" w:eastAsiaTheme="majorEastAsia" w:hAnsiTheme="majorEastAsia" w:hint="eastAsia"/>
                <w:iCs/>
              </w:rPr>
              <w:t>D課題対応力</w:t>
            </w:r>
          </w:p>
        </w:tc>
        <w:tc>
          <w:tcPr>
            <w:tcW w:w="4785" w:type="dxa"/>
          </w:tcPr>
          <w:p w14:paraId="4B93DAE3" w14:textId="56B2563F" w:rsidR="00B0223B" w:rsidRDefault="00117923" w:rsidP="00B0223B">
            <w:r>
              <w:rPr>
                <w:rFonts w:hint="eastAsia"/>
              </w:rPr>
              <w:t>①テーマ（問い）設定</w:t>
            </w:r>
          </w:p>
        </w:tc>
      </w:tr>
      <w:tr w:rsidR="00B0223B" w14:paraId="2A86DAE2" w14:textId="77777777" w:rsidTr="00AA35F2">
        <w:trPr>
          <w:trHeight w:val="306"/>
        </w:trPr>
        <w:tc>
          <w:tcPr>
            <w:tcW w:w="2075" w:type="dxa"/>
            <w:vMerge/>
          </w:tcPr>
          <w:p w14:paraId="170F7B82" w14:textId="77777777" w:rsidR="00B0223B" w:rsidRDefault="00B0223B" w:rsidP="00B0223B"/>
        </w:tc>
        <w:tc>
          <w:tcPr>
            <w:tcW w:w="2882" w:type="dxa"/>
          </w:tcPr>
          <w:p w14:paraId="4801E918" w14:textId="0431541C" w:rsidR="00B0223B" w:rsidRPr="00614B55" w:rsidRDefault="00AA35F2" w:rsidP="00B0223B">
            <w:pPr>
              <w:rPr>
                <w:rFonts w:asciiTheme="majorEastAsia" w:eastAsiaTheme="majorEastAsia" w:hAnsiTheme="majorEastAsia"/>
                <w:iCs/>
              </w:rPr>
            </w:pPr>
            <w:r>
              <w:rPr>
                <w:rFonts w:asciiTheme="majorEastAsia" w:eastAsiaTheme="majorEastAsia" w:hAnsiTheme="majorEastAsia" w:hint="eastAsia"/>
                <w:iCs/>
              </w:rPr>
              <w:t>Gコミュニケーション能力</w:t>
            </w:r>
          </w:p>
        </w:tc>
        <w:tc>
          <w:tcPr>
            <w:tcW w:w="4785" w:type="dxa"/>
          </w:tcPr>
          <w:p w14:paraId="0C581769" w14:textId="0F0E8024" w:rsidR="00B0223B" w:rsidRDefault="00117923" w:rsidP="00B0223B">
            <w:r>
              <w:rPr>
                <w:rFonts w:hint="eastAsia"/>
              </w:rPr>
              <w:t>①傾聴　②対話・議論</w:t>
            </w:r>
          </w:p>
        </w:tc>
      </w:tr>
      <w:tr w:rsidR="00B0223B" w14:paraId="3D9C42A7" w14:textId="77777777" w:rsidTr="00AA35F2">
        <w:trPr>
          <w:trHeight w:val="306"/>
        </w:trPr>
        <w:tc>
          <w:tcPr>
            <w:tcW w:w="2075" w:type="dxa"/>
            <w:vMerge/>
          </w:tcPr>
          <w:p w14:paraId="1287CB5F" w14:textId="77777777" w:rsidR="00B0223B" w:rsidRDefault="00B0223B" w:rsidP="00B0223B"/>
        </w:tc>
        <w:tc>
          <w:tcPr>
            <w:tcW w:w="2882" w:type="dxa"/>
          </w:tcPr>
          <w:p w14:paraId="7E91C8FC" w14:textId="77777777" w:rsidR="00B0223B" w:rsidRPr="00614B55" w:rsidRDefault="00B0223B" w:rsidP="00B0223B">
            <w:pPr>
              <w:rPr>
                <w:rFonts w:asciiTheme="majorEastAsia" w:eastAsiaTheme="majorEastAsia" w:hAnsiTheme="majorEastAsia"/>
                <w:iCs/>
              </w:rPr>
            </w:pPr>
          </w:p>
        </w:tc>
        <w:tc>
          <w:tcPr>
            <w:tcW w:w="4785" w:type="dxa"/>
          </w:tcPr>
          <w:p w14:paraId="39D864B5" w14:textId="77777777" w:rsidR="00B0223B" w:rsidRPr="00614B55" w:rsidRDefault="00B0223B" w:rsidP="00B0223B"/>
        </w:tc>
      </w:tr>
      <w:tr w:rsidR="00B0223B" w14:paraId="476CFBEB" w14:textId="77777777" w:rsidTr="00B0223B">
        <w:tc>
          <w:tcPr>
            <w:tcW w:w="2075" w:type="dxa"/>
          </w:tcPr>
          <w:p w14:paraId="2EB5E4C6" w14:textId="77777777" w:rsidR="00B0223B" w:rsidRPr="00AE4E15" w:rsidRDefault="00B0223B" w:rsidP="00B0223B">
            <w:r w:rsidRPr="00AE4E15">
              <w:rPr>
                <w:rFonts w:hint="eastAsia"/>
              </w:rPr>
              <w:t>南高STEAMの視点</w:t>
            </w:r>
          </w:p>
          <w:p w14:paraId="13164D2F" w14:textId="77777777" w:rsidR="00B0223B" w:rsidRPr="00AE4E15" w:rsidRDefault="00B0223B" w:rsidP="00B0223B">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599BC1F7" w14:textId="2944EEC0" w:rsidR="00117923" w:rsidRPr="007B788B" w:rsidRDefault="007B788B" w:rsidP="00B0223B">
            <w:r>
              <w:rPr>
                <w:rFonts w:hint="eastAsia"/>
              </w:rPr>
              <w:t>理科（化学基礎）で扱う</w:t>
            </w:r>
            <w:r>
              <w:t>pHの概念を数学（指数・対数）と関連付け、</w:t>
            </w:r>
            <w:r>
              <w:rPr>
                <w:rFonts w:hint="eastAsia"/>
              </w:rPr>
              <w:t>数式が現象を説明する道具として機能することを体験する教科横断型授業である。水素イオン濃度と</w:t>
            </w:r>
            <w:r>
              <w:t>pHの関係を数学的に捉え直し、教科間のつながりを意識して理解を深める。</w:t>
            </w:r>
          </w:p>
        </w:tc>
      </w:tr>
    </w:tbl>
    <w:p w14:paraId="262B896A" w14:textId="6E58D372"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パターン2　南高ＳＴＥＡＭによる授業デザイン案・指導略案</w:t>
      </w:r>
    </w:p>
    <w:p w14:paraId="77DE22E7" w14:textId="77777777" w:rsidR="00826A8D" w:rsidRDefault="00826A8D" w:rsidP="00B0223B">
      <w:bookmarkStart w:id="0" w:name="_Hlk136278889"/>
    </w:p>
    <w:p w14:paraId="5A0BF348" w14:textId="2AAE32C3" w:rsidR="00117923" w:rsidRPr="00B0223B" w:rsidRDefault="00B0223B" w:rsidP="00B0223B">
      <w:r>
        <w:rPr>
          <w:rFonts w:hint="eastAsia"/>
        </w:rPr>
        <w:t>指導略案</w:t>
      </w:r>
      <w:bookmarkEnd w:id="0"/>
    </w:p>
    <w:tbl>
      <w:tblPr>
        <w:tblStyle w:val="a3"/>
        <w:tblpPr w:leftFromText="142" w:rightFromText="142" w:vertAnchor="page" w:horzAnchor="margin" w:tblpY="8611"/>
        <w:tblW w:w="0" w:type="auto"/>
        <w:tblLook w:val="04A0" w:firstRow="1" w:lastRow="0" w:firstColumn="1" w:lastColumn="0" w:noHBand="0" w:noVBand="1"/>
      </w:tblPr>
      <w:tblGrid>
        <w:gridCol w:w="1072"/>
        <w:gridCol w:w="3117"/>
        <w:gridCol w:w="3118"/>
        <w:gridCol w:w="2435"/>
      </w:tblGrid>
      <w:tr w:rsidR="00B0223B" w14:paraId="1D86253D" w14:textId="77777777" w:rsidTr="00B0223B">
        <w:tc>
          <w:tcPr>
            <w:tcW w:w="1072" w:type="dxa"/>
          </w:tcPr>
          <w:p w14:paraId="39E2390C" w14:textId="77777777" w:rsidR="00B0223B" w:rsidRDefault="00B0223B" w:rsidP="00B0223B">
            <w:pPr>
              <w:jc w:val="center"/>
            </w:pPr>
            <w:r>
              <w:rPr>
                <w:rFonts w:hint="eastAsia"/>
              </w:rPr>
              <w:t>時間</w:t>
            </w:r>
          </w:p>
        </w:tc>
        <w:tc>
          <w:tcPr>
            <w:tcW w:w="3117" w:type="dxa"/>
          </w:tcPr>
          <w:p w14:paraId="36B34133" w14:textId="77777777" w:rsidR="00B0223B" w:rsidRDefault="00B0223B" w:rsidP="00B0223B">
            <w:pPr>
              <w:jc w:val="center"/>
            </w:pPr>
            <w:r>
              <w:rPr>
                <w:rFonts w:hint="eastAsia"/>
              </w:rPr>
              <w:t>生徒の活動</w:t>
            </w:r>
          </w:p>
        </w:tc>
        <w:tc>
          <w:tcPr>
            <w:tcW w:w="3118" w:type="dxa"/>
          </w:tcPr>
          <w:p w14:paraId="15D91214" w14:textId="77777777" w:rsidR="00B0223B" w:rsidRDefault="00B0223B" w:rsidP="00B0223B">
            <w:pPr>
              <w:jc w:val="center"/>
            </w:pPr>
            <w:r>
              <w:rPr>
                <w:rFonts w:hint="eastAsia"/>
              </w:rPr>
              <w:t>教師の活動</w:t>
            </w:r>
          </w:p>
        </w:tc>
        <w:tc>
          <w:tcPr>
            <w:tcW w:w="2435" w:type="dxa"/>
          </w:tcPr>
          <w:p w14:paraId="439746DB" w14:textId="77777777" w:rsidR="00B0223B" w:rsidRDefault="00B0223B" w:rsidP="00B0223B">
            <w:pPr>
              <w:jc w:val="center"/>
            </w:pPr>
            <w:r>
              <w:rPr>
                <w:rFonts w:hint="eastAsia"/>
              </w:rPr>
              <w:t>留意事項</w:t>
            </w:r>
          </w:p>
        </w:tc>
      </w:tr>
      <w:tr w:rsidR="00B0223B" w14:paraId="5FE6F1E8" w14:textId="77777777" w:rsidTr="00B0223B">
        <w:tc>
          <w:tcPr>
            <w:tcW w:w="1072" w:type="dxa"/>
          </w:tcPr>
          <w:p w14:paraId="3E4F5B4B" w14:textId="26E58000" w:rsidR="00B0223B" w:rsidRDefault="00817BD0" w:rsidP="00B0223B">
            <w:r>
              <w:rPr>
                <w:rFonts w:hint="eastAsia"/>
              </w:rPr>
              <w:t>導入</w:t>
            </w:r>
          </w:p>
          <w:p w14:paraId="4D8F0381" w14:textId="313D9BBE" w:rsidR="00817BD0" w:rsidRDefault="00817BD0" w:rsidP="00B0223B"/>
          <w:p w14:paraId="360C0146" w14:textId="77777777" w:rsidR="00B0223B" w:rsidRDefault="00B0223B" w:rsidP="00B0223B"/>
        </w:tc>
        <w:tc>
          <w:tcPr>
            <w:tcW w:w="3117" w:type="dxa"/>
          </w:tcPr>
          <w:p w14:paraId="0599ABBB" w14:textId="18EE3CBC" w:rsidR="00817BD0" w:rsidRDefault="00817BD0" w:rsidP="00817BD0">
            <w:r>
              <w:rPr>
                <w:rFonts w:hint="eastAsia"/>
              </w:rPr>
              <w:t>・本日することの流れを理解する</w:t>
            </w:r>
          </w:p>
        </w:tc>
        <w:tc>
          <w:tcPr>
            <w:tcW w:w="3118" w:type="dxa"/>
          </w:tcPr>
          <w:p w14:paraId="450577EA" w14:textId="77777777" w:rsidR="00B0223B" w:rsidRDefault="00817BD0" w:rsidP="00B0223B">
            <w:r>
              <w:rPr>
                <w:rFonts w:hint="eastAsia"/>
              </w:rPr>
              <w:t>・本日することの流れを話す</w:t>
            </w:r>
          </w:p>
          <w:p w14:paraId="735DDB7B" w14:textId="3AFD0A2E" w:rsidR="00817BD0" w:rsidRPr="00F92472" w:rsidRDefault="00817BD0" w:rsidP="00B0223B">
            <w:r>
              <w:rPr>
                <w:rFonts w:hint="eastAsia"/>
              </w:rPr>
              <w:t>（</w:t>
            </w:r>
            <w:r w:rsidR="00826A8D">
              <w:rPr>
                <w:rFonts w:hint="eastAsia"/>
              </w:rPr>
              <w:t>化学担当者</w:t>
            </w:r>
            <w:r>
              <w:rPr>
                <w:rFonts w:hint="eastAsia"/>
              </w:rPr>
              <w:t>）</w:t>
            </w:r>
          </w:p>
        </w:tc>
        <w:tc>
          <w:tcPr>
            <w:tcW w:w="2435" w:type="dxa"/>
          </w:tcPr>
          <w:p w14:paraId="72B9E083" w14:textId="1591789F" w:rsidR="00B0223B" w:rsidRDefault="00817BD0" w:rsidP="00B0223B">
            <w:r>
              <w:rPr>
                <w:rFonts w:hint="eastAsia"/>
              </w:rPr>
              <w:t>パワーポイントを用いて、本時の流れを視覚化する</w:t>
            </w:r>
          </w:p>
        </w:tc>
      </w:tr>
      <w:tr w:rsidR="00B0223B" w14:paraId="7A8A8CDF" w14:textId="77777777" w:rsidTr="00B0223B">
        <w:tc>
          <w:tcPr>
            <w:tcW w:w="1072" w:type="dxa"/>
          </w:tcPr>
          <w:p w14:paraId="39DB35E9" w14:textId="300D0869" w:rsidR="00B0223B" w:rsidRDefault="00817BD0" w:rsidP="00B0223B">
            <w:r>
              <w:rPr>
                <w:rFonts w:hint="eastAsia"/>
              </w:rPr>
              <w:t>展開１</w:t>
            </w:r>
          </w:p>
          <w:p w14:paraId="678826C1" w14:textId="77777777" w:rsidR="00117923" w:rsidRDefault="00117923" w:rsidP="00B0223B"/>
          <w:p w14:paraId="59ABAE78" w14:textId="77777777" w:rsidR="00117923" w:rsidRDefault="00117923" w:rsidP="00B0223B"/>
          <w:p w14:paraId="02D72B80" w14:textId="77777777" w:rsidR="00117923" w:rsidRDefault="00117923" w:rsidP="00B0223B"/>
          <w:p w14:paraId="5A785888" w14:textId="77777777" w:rsidR="00117923" w:rsidRDefault="00117923" w:rsidP="00B0223B"/>
          <w:p w14:paraId="607BDB78" w14:textId="132296C8" w:rsidR="00B0223B" w:rsidRDefault="00B0223B" w:rsidP="00B0223B"/>
          <w:p w14:paraId="3198F43A" w14:textId="77777777" w:rsidR="00D24BA3" w:rsidRDefault="00D24BA3" w:rsidP="00B0223B"/>
          <w:p w14:paraId="00796EE1" w14:textId="77777777" w:rsidR="00D24BA3" w:rsidRDefault="00D24BA3" w:rsidP="00B0223B"/>
          <w:p w14:paraId="46A17BCD" w14:textId="282A059A" w:rsidR="00817BD0" w:rsidRDefault="00817BD0" w:rsidP="00B0223B">
            <w:r>
              <w:rPr>
                <w:rFonts w:hint="eastAsia"/>
              </w:rPr>
              <w:t>展開２</w:t>
            </w:r>
          </w:p>
          <w:p w14:paraId="0448F90D" w14:textId="77777777" w:rsidR="00817BD0" w:rsidRDefault="00817BD0" w:rsidP="00B0223B"/>
          <w:p w14:paraId="381AB153" w14:textId="77777777" w:rsidR="00B0223B" w:rsidRDefault="00B0223B" w:rsidP="00B0223B"/>
          <w:p w14:paraId="20851005" w14:textId="77777777" w:rsidR="00D24BA3" w:rsidRDefault="00D24BA3" w:rsidP="00B0223B"/>
          <w:p w14:paraId="730E7B82" w14:textId="77777777" w:rsidR="00D24BA3" w:rsidRDefault="00D24BA3" w:rsidP="00B0223B"/>
          <w:p w14:paraId="70A93026" w14:textId="77777777" w:rsidR="00817BD0" w:rsidRDefault="00817BD0" w:rsidP="00B0223B">
            <w:r>
              <w:rPr>
                <w:rFonts w:hint="eastAsia"/>
              </w:rPr>
              <w:t>展開３</w:t>
            </w:r>
          </w:p>
          <w:p w14:paraId="61E6F6CA" w14:textId="77777777" w:rsidR="00D24BA3" w:rsidRDefault="00D24BA3" w:rsidP="00B0223B"/>
          <w:p w14:paraId="4DA4D5FD" w14:textId="77777777" w:rsidR="00D24BA3" w:rsidRDefault="00D24BA3" w:rsidP="00B0223B"/>
          <w:p w14:paraId="299EA598" w14:textId="77777777" w:rsidR="001A1C38" w:rsidRDefault="001A1C38" w:rsidP="00B0223B"/>
          <w:p w14:paraId="28EB1F43" w14:textId="77777777" w:rsidR="001A1C38" w:rsidRDefault="001A1C38" w:rsidP="00B0223B"/>
          <w:p w14:paraId="01F33075" w14:textId="77777777" w:rsidR="001A1C38" w:rsidRDefault="001A1C38" w:rsidP="00B0223B"/>
          <w:p w14:paraId="414979ED" w14:textId="46438FA9" w:rsidR="00D24BA3" w:rsidRDefault="00D24BA3" w:rsidP="00B0223B">
            <w:r>
              <w:rPr>
                <w:rFonts w:hint="eastAsia"/>
              </w:rPr>
              <w:t>展開４</w:t>
            </w:r>
          </w:p>
          <w:p w14:paraId="0A9F6868" w14:textId="3CE52FC1" w:rsidR="00D24BA3" w:rsidRDefault="00D24BA3" w:rsidP="00B0223B"/>
        </w:tc>
        <w:tc>
          <w:tcPr>
            <w:tcW w:w="3117" w:type="dxa"/>
          </w:tcPr>
          <w:p w14:paraId="31EBBA4B" w14:textId="77777777" w:rsidR="00B0223B" w:rsidRDefault="00817BD0" w:rsidP="00B0223B">
            <w:r>
              <w:rPr>
                <w:rFonts w:hint="eastAsia"/>
              </w:rPr>
              <w:lastRenderedPageBreak/>
              <w:t>・酸と塩基の定義について復習する</w:t>
            </w:r>
          </w:p>
          <w:p w14:paraId="15995D4B" w14:textId="77777777" w:rsidR="00817BD0" w:rsidRDefault="00817BD0" w:rsidP="00B0223B">
            <w:r>
              <w:rPr>
                <w:rFonts w:hint="eastAsia"/>
              </w:rPr>
              <w:t>（アレニウスの定義とブレンステッド・ローリーの定義について）</w:t>
            </w:r>
          </w:p>
          <w:p w14:paraId="1118B01E" w14:textId="766D9385" w:rsidR="00817BD0" w:rsidRDefault="00D24BA3" w:rsidP="00B0223B">
            <w:r>
              <w:rPr>
                <w:rFonts w:hint="eastAsia"/>
              </w:rPr>
              <w:t>・問題演習に取り組む</w:t>
            </w:r>
          </w:p>
          <w:p w14:paraId="4267735B" w14:textId="77777777" w:rsidR="00D24BA3" w:rsidRDefault="00D24BA3" w:rsidP="00B0223B"/>
          <w:p w14:paraId="49298B52" w14:textId="77777777" w:rsidR="00D24BA3" w:rsidRDefault="00D24BA3" w:rsidP="00B0223B"/>
          <w:p w14:paraId="2D7C9656" w14:textId="77777777" w:rsidR="00817BD0" w:rsidRDefault="00817BD0" w:rsidP="00B0223B">
            <w:r>
              <w:rPr>
                <w:rFonts w:hint="eastAsia"/>
              </w:rPr>
              <w:t>・水素イオン濃度の表し方について復習する</w:t>
            </w:r>
          </w:p>
          <w:p w14:paraId="4619A86E" w14:textId="0C25593A" w:rsidR="00817BD0" w:rsidRDefault="00D24BA3" w:rsidP="00B0223B">
            <w:r>
              <w:rPr>
                <w:rFonts w:hint="eastAsia"/>
              </w:rPr>
              <w:t>・問題演習に取り組む</w:t>
            </w:r>
          </w:p>
          <w:p w14:paraId="77C89C7C" w14:textId="77777777" w:rsidR="00D24BA3" w:rsidRDefault="00D24BA3" w:rsidP="00B0223B"/>
          <w:p w14:paraId="0AFC74CC" w14:textId="77777777" w:rsidR="00D24BA3" w:rsidRDefault="00D24BA3" w:rsidP="00B0223B"/>
          <w:p w14:paraId="2319ED96" w14:textId="63985EF0" w:rsidR="00817BD0" w:rsidRDefault="00817BD0" w:rsidP="00B0223B">
            <w:r>
              <w:rPr>
                <w:rFonts w:hint="eastAsia"/>
              </w:rPr>
              <w:t>・水素イオン濃度から、pH</w:t>
            </w:r>
            <w:r w:rsidR="00D24BA3">
              <w:rPr>
                <w:rFonts w:hint="eastAsia"/>
              </w:rPr>
              <w:t>に変換する定義について</w:t>
            </w:r>
            <w:r>
              <w:rPr>
                <w:rFonts w:hint="eastAsia"/>
              </w:rPr>
              <w:t>復習する</w:t>
            </w:r>
          </w:p>
          <w:p w14:paraId="2C6DC768" w14:textId="7C616168" w:rsidR="001A1C38" w:rsidRDefault="001A1C38" w:rsidP="00B0223B"/>
          <w:p w14:paraId="1196D3E3" w14:textId="77777777" w:rsidR="001A1C38" w:rsidRDefault="001A1C38" w:rsidP="00B0223B"/>
          <w:p w14:paraId="56C61189" w14:textId="77777777" w:rsidR="001A1C38" w:rsidRDefault="001A1C38" w:rsidP="00B0223B"/>
          <w:p w14:paraId="20752125" w14:textId="488872D8" w:rsidR="00A01F5F" w:rsidRDefault="00D24BA3" w:rsidP="00B0223B">
            <w:r>
              <w:rPr>
                <w:rFonts w:hint="eastAsia"/>
              </w:rPr>
              <w:t>・水素イオン濃度から、pHに変換する演習に取り組む</w:t>
            </w:r>
          </w:p>
        </w:tc>
        <w:tc>
          <w:tcPr>
            <w:tcW w:w="3118" w:type="dxa"/>
          </w:tcPr>
          <w:p w14:paraId="5F9776DA" w14:textId="14749052" w:rsidR="00B0223B" w:rsidRDefault="00817BD0" w:rsidP="00B0223B">
            <w:r>
              <w:rPr>
                <w:rFonts w:hint="eastAsia"/>
              </w:rPr>
              <w:lastRenderedPageBreak/>
              <w:t>・酸と塩基の定義について説明する（</w:t>
            </w:r>
            <w:r w:rsidR="00826A8D">
              <w:rPr>
                <w:rFonts w:hint="eastAsia"/>
              </w:rPr>
              <w:t>化学担当者</w:t>
            </w:r>
            <w:r>
              <w:rPr>
                <w:rFonts w:hint="eastAsia"/>
              </w:rPr>
              <w:t>）</w:t>
            </w:r>
          </w:p>
          <w:p w14:paraId="2A9DB10F" w14:textId="77777777" w:rsidR="00817BD0" w:rsidRPr="00826A8D" w:rsidRDefault="00817BD0" w:rsidP="00B0223B"/>
          <w:p w14:paraId="1A3A9F6D" w14:textId="77777777" w:rsidR="00817BD0" w:rsidRDefault="00817BD0" w:rsidP="00B0223B"/>
          <w:p w14:paraId="43FFCAB6" w14:textId="77777777" w:rsidR="00817BD0" w:rsidRDefault="00817BD0" w:rsidP="00B0223B"/>
          <w:p w14:paraId="61C9097B" w14:textId="5D6607D6" w:rsidR="00817BD0" w:rsidRDefault="00D24BA3" w:rsidP="00B0223B">
            <w:r>
              <w:rPr>
                <w:rFonts w:hint="eastAsia"/>
              </w:rPr>
              <w:t>・机間指導を行いながら、</w:t>
            </w:r>
            <w:proofErr w:type="gramStart"/>
            <w:r>
              <w:rPr>
                <w:rFonts w:hint="eastAsia"/>
              </w:rPr>
              <w:t>つまづ</w:t>
            </w:r>
            <w:proofErr w:type="gramEnd"/>
            <w:r>
              <w:rPr>
                <w:rFonts w:hint="eastAsia"/>
              </w:rPr>
              <w:t>きを解消する（</w:t>
            </w:r>
            <w:r w:rsidR="00826A8D">
              <w:rPr>
                <w:rFonts w:hint="eastAsia"/>
              </w:rPr>
              <w:t>同前</w:t>
            </w:r>
            <w:r>
              <w:rPr>
                <w:rFonts w:hint="eastAsia"/>
              </w:rPr>
              <w:t>）</w:t>
            </w:r>
          </w:p>
          <w:p w14:paraId="6742A957" w14:textId="77777777" w:rsidR="00D24BA3" w:rsidRPr="00826A8D" w:rsidRDefault="00D24BA3" w:rsidP="00B0223B"/>
          <w:p w14:paraId="3B7C116E" w14:textId="601791A4" w:rsidR="00817BD0" w:rsidRDefault="00817BD0" w:rsidP="00B0223B">
            <w:r>
              <w:rPr>
                <w:rFonts w:hint="eastAsia"/>
              </w:rPr>
              <w:t>・水素イオン濃度の表し方を説明する</w:t>
            </w:r>
            <w:r w:rsidR="00D24BA3">
              <w:rPr>
                <w:rFonts w:hint="eastAsia"/>
              </w:rPr>
              <w:t>（</w:t>
            </w:r>
            <w:r w:rsidR="00826A8D">
              <w:rPr>
                <w:rFonts w:hint="eastAsia"/>
              </w:rPr>
              <w:t>同前</w:t>
            </w:r>
            <w:r w:rsidR="00D24BA3">
              <w:rPr>
                <w:rFonts w:hint="eastAsia"/>
              </w:rPr>
              <w:t>）</w:t>
            </w:r>
          </w:p>
          <w:p w14:paraId="18EA98CB" w14:textId="001FAFA2" w:rsidR="00D24BA3" w:rsidRDefault="00D24BA3" w:rsidP="00D24BA3">
            <w:r>
              <w:rPr>
                <w:rFonts w:hint="eastAsia"/>
              </w:rPr>
              <w:t>・机間指導を行いながら、</w:t>
            </w:r>
            <w:proofErr w:type="gramStart"/>
            <w:r>
              <w:rPr>
                <w:rFonts w:hint="eastAsia"/>
              </w:rPr>
              <w:t>つまづ</w:t>
            </w:r>
            <w:proofErr w:type="gramEnd"/>
            <w:r>
              <w:rPr>
                <w:rFonts w:hint="eastAsia"/>
              </w:rPr>
              <w:t>きを解消する（</w:t>
            </w:r>
            <w:r w:rsidR="00826A8D">
              <w:rPr>
                <w:rFonts w:hint="eastAsia"/>
              </w:rPr>
              <w:t>同前</w:t>
            </w:r>
            <w:r>
              <w:rPr>
                <w:rFonts w:hint="eastAsia"/>
              </w:rPr>
              <w:t>）</w:t>
            </w:r>
          </w:p>
          <w:p w14:paraId="237324A0" w14:textId="77777777" w:rsidR="00D24BA3" w:rsidRPr="00826A8D" w:rsidRDefault="00D24BA3" w:rsidP="00B0223B"/>
          <w:p w14:paraId="1A4C2BB0" w14:textId="6992658A" w:rsidR="00817BD0" w:rsidRDefault="00D24BA3" w:rsidP="00D24BA3">
            <w:r>
              <w:rPr>
                <w:rFonts w:hint="eastAsia"/>
              </w:rPr>
              <w:t>・水素イオン濃度から、pHに変換する定義について説明する（</w:t>
            </w:r>
            <w:r w:rsidR="00826A8D">
              <w:rPr>
                <w:rFonts w:hint="eastAsia"/>
              </w:rPr>
              <w:t>同前</w:t>
            </w:r>
            <w:r>
              <w:rPr>
                <w:rFonts w:hint="eastAsia"/>
              </w:rPr>
              <w:t>）</w:t>
            </w:r>
          </w:p>
          <w:p w14:paraId="7616C434" w14:textId="2E938D76" w:rsidR="001A1C38" w:rsidRDefault="001A1C38" w:rsidP="00D24BA3">
            <w:r>
              <w:rPr>
                <w:rFonts w:hint="eastAsia"/>
              </w:rPr>
              <w:lastRenderedPageBreak/>
              <w:t>・対数を用いて、pHを求める方法を説明する（</w:t>
            </w:r>
            <w:r w:rsidR="00826A8D">
              <w:rPr>
                <w:rFonts w:hint="eastAsia"/>
              </w:rPr>
              <w:t>数学担当者</w:t>
            </w:r>
            <w:r>
              <w:rPr>
                <w:rFonts w:hint="eastAsia"/>
              </w:rPr>
              <w:t>）</w:t>
            </w:r>
          </w:p>
          <w:p w14:paraId="47BEEB36" w14:textId="77777777" w:rsidR="001A1C38" w:rsidRDefault="001A1C38" w:rsidP="00D24BA3"/>
          <w:p w14:paraId="4885473B" w14:textId="50A9D836" w:rsidR="001A1C38" w:rsidRDefault="001A1C38" w:rsidP="00D24BA3">
            <w:r>
              <w:rPr>
                <w:rFonts w:hint="eastAsia"/>
              </w:rPr>
              <w:t>・机間指導を行いながら、</w:t>
            </w:r>
            <w:proofErr w:type="gramStart"/>
            <w:r>
              <w:rPr>
                <w:rFonts w:hint="eastAsia"/>
              </w:rPr>
              <w:t>つまづ</w:t>
            </w:r>
            <w:proofErr w:type="gramEnd"/>
            <w:r>
              <w:rPr>
                <w:rFonts w:hint="eastAsia"/>
              </w:rPr>
              <w:t>きを解消する（</w:t>
            </w:r>
            <w:r w:rsidR="00826A8D">
              <w:rPr>
                <w:rFonts w:hint="eastAsia"/>
              </w:rPr>
              <w:t>両者</w:t>
            </w:r>
            <w:r>
              <w:rPr>
                <w:rFonts w:hint="eastAsia"/>
              </w:rPr>
              <w:t>）</w:t>
            </w:r>
          </w:p>
        </w:tc>
        <w:tc>
          <w:tcPr>
            <w:tcW w:w="2435" w:type="dxa"/>
          </w:tcPr>
          <w:p w14:paraId="5A281A35" w14:textId="77777777" w:rsidR="00B0223B" w:rsidRDefault="00817BD0" w:rsidP="00B0223B">
            <w:r>
              <w:rPr>
                <w:rFonts w:hint="eastAsia"/>
              </w:rPr>
              <w:lastRenderedPageBreak/>
              <w:t>パワーポイントを用いて、それぞれの定義を視覚化する</w:t>
            </w:r>
          </w:p>
          <w:p w14:paraId="57149DD9" w14:textId="77777777" w:rsidR="00817BD0" w:rsidRDefault="00817BD0" w:rsidP="00B0223B"/>
          <w:p w14:paraId="73A4E103" w14:textId="77777777" w:rsidR="00817BD0" w:rsidRDefault="00817BD0" w:rsidP="00B0223B"/>
          <w:p w14:paraId="517C5790" w14:textId="77777777" w:rsidR="00817BD0" w:rsidRDefault="00817BD0" w:rsidP="00B0223B"/>
          <w:p w14:paraId="3C0A8484" w14:textId="5DA9C766" w:rsidR="00817BD0" w:rsidRDefault="00817BD0" w:rsidP="00B0223B"/>
        </w:tc>
      </w:tr>
      <w:tr w:rsidR="00B0223B" w14:paraId="2FA1E966" w14:textId="77777777" w:rsidTr="00B0223B">
        <w:tc>
          <w:tcPr>
            <w:tcW w:w="1072" w:type="dxa"/>
          </w:tcPr>
          <w:p w14:paraId="6E1F9368" w14:textId="297F4755" w:rsidR="00B0223B" w:rsidRDefault="00817BD0" w:rsidP="00B0223B">
            <w:r>
              <w:rPr>
                <w:rFonts w:hint="eastAsia"/>
              </w:rPr>
              <w:t>まとめ</w:t>
            </w:r>
          </w:p>
        </w:tc>
        <w:tc>
          <w:tcPr>
            <w:tcW w:w="3117" w:type="dxa"/>
          </w:tcPr>
          <w:p w14:paraId="4C66EC59" w14:textId="5DEDB1B3" w:rsidR="00B0223B" w:rsidRDefault="001A1C38" w:rsidP="00B0223B">
            <w:r>
              <w:rPr>
                <w:rFonts w:hint="eastAsia"/>
              </w:rPr>
              <w:t>・本時の振り返りを行う</w:t>
            </w:r>
          </w:p>
        </w:tc>
        <w:tc>
          <w:tcPr>
            <w:tcW w:w="3118" w:type="dxa"/>
          </w:tcPr>
          <w:p w14:paraId="4528A07B" w14:textId="77777777" w:rsidR="00B0223B" w:rsidRDefault="001A1C38" w:rsidP="00B0223B">
            <w:r>
              <w:rPr>
                <w:rFonts w:hint="eastAsia"/>
              </w:rPr>
              <w:t>・本時の振り返りを行わせる</w:t>
            </w:r>
          </w:p>
          <w:p w14:paraId="2385FE02" w14:textId="7FEFB98C" w:rsidR="001A1C38" w:rsidRDefault="001A1C38" w:rsidP="00B0223B">
            <w:r>
              <w:rPr>
                <w:rFonts w:hint="eastAsia"/>
              </w:rPr>
              <w:t>（</w:t>
            </w:r>
            <w:r w:rsidR="00826A8D">
              <w:rPr>
                <w:rFonts w:hint="eastAsia"/>
              </w:rPr>
              <w:t>化学担当者</w:t>
            </w:r>
            <w:r>
              <w:rPr>
                <w:rFonts w:hint="eastAsia"/>
              </w:rPr>
              <w:t>）</w:t>
            </w:r>
          </w:p>
        </w:tc>
        <w:tc>
          <w:tcPr>
            <w:tcW w:w="2435" w:type="dxa"/>
          </w:tcPr>
          <w:p w14:paraId="666E46E0" w14:textId="77777777" w:rsidR="00B0223B" w:rsidRDefault="00B0223B" w:rsidP="00B0223B"/>
        </w:tc>
      </w:tr>
    </w:tbl>
    <w:p w14:paraId="04FA8914" w14:textId="77777777" w:rsidR="00B0223B" w:rsidRPr="00B0223B" w:rsidRDefault="00B0223B" w:rsidP="00B0223B">
      <w:pPr>
        <w:rPr>
          <w:rFonts w:ascii="ＭＳ ゴシック" w:eastAsia="ＭＳ ゴシック" w:hAnsi="ＭＳ ゴシック"/>
          <w:sz w:val="24"/>
          <w:szCs w:val="28"/>
        </w:rPr>
      </w:pPr>
    </w:p>
    <w:tbl>
      <w:tblPr>
        <w:tblpPr w:leftFromText="142" w:rightFromText="142" w:vertAnchor="text" w:horzAnchor="margin" w:tblpY="365"/>
        <w:tblW w:w="9776" w:type="dxa"/>
        <w:tblCellMar>
          <w:left w:w="99" w:type="dxa"/>
          <w:right w:w="99" w:type="dxa"/>
        </w:tblCellMar>
        <w:tblLook w:val="04A0" w:firstRow="1" w:lastRow="0" w:firstColumn="1" w:lastColumn="0" w:noHBand="0" w:noVBand="1"/>
      </w:tblPr>
      <w:tblGrid>
        <w:gridCol w:w="2800"/>
        <w:gridCol w:w="6976"/>
      </w:tblGrid>
      <w:tr w:rsidR="00B0223B" w:rsidRPr="00951436" w14:paraId="6811FBF8" w14:textId="77777777" w:rsidTr="00B0223B">
        <w:trPr>
          <w:trHeight w:val="390"/>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E45B095"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vAlign w:val="center"/>
            <w:hideMark/>
          </w:tcPr>
          <w:p w14:paraId="6294231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B0223B" w:rsidRPr="00951436" w14:paraId="7108C341"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14FC4D29"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vAlign w:val="center"/>
            <w:hideMark/>
          </w:tcPr>
          <w:p w14:paraId="2E28DF3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B0223B" w:rsidRPr="00951436" w14:paraId="4985D956"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7837993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vAlign w:val="center"/>
            <w:hideMark/>
          </w:tcPr>
          <w:p w14:paraId="07FE801F"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B0223B" w:rsidRPr="00951436" w14:paraId="7147A0E9"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2EEF9B4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vAlign w:val="center"/>
            <w:hideMark/>
          </w:tcPr>
          <w:p w14:paraId="39259165"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B0223B" w:rsidRPr="00951436" w14:paraId="28D8A3D0"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63F506F3"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vAlign w:val="center"/>
            <w:hideMark/>
          </w:tcPr>
          <w:p w14:paraId="4A187F4E"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B0223B" w:rsidRPr="00951436" w14:paraId="25879C23"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1A11193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vAlign w:val="center"/>
            <w:hideMark/>
          </w:tcPr>
          <w:p w14:paraId="1D0009E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B0223B" w:rsidRPr="00951436" w14:paraId="70EFAE55"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5E7DA24F"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vAlign w:val="center"/>
            <w:hideMark/>
          </w:tcPr>
          <w:p w14:paraId="14C8A85D"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B0223B" w:rsidRPr="00951436" w14:paraId="1C1CA418"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35FFD5B6"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vAlign w:val="center"/>
            <w:hideMark/>
          </w:tcPr>
          <w:p w14:paraId="32B67113"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1578250E" w14:textId="007AFB04" w:rsidR="00B0223B" w:rsidRPr="00B0223B" w:rsidRDefault="00B0223B" w:rsidP="00B0223B">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p w14:paraId="0A060CFC" w14:textId="77777777" w:rsidR="00B0223B" w:rsidRPr="00B0223B" w:rsidRDefault="00B0223B" w:rsidP="00B0223B"/>
    <w:sectPr w:rsidR="00B0223B" w:rsidRPr="00B0223B"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A6F4" w14:textId="77777777" w:rsidR="00B33376" w:rsidRDefault="00B33376" w:rsidP="0017219E">
      <w:r>
        <w:separator/>
      </w:r>
    </w:p>
  </w:endnote>
  <w:endnote w:type="continuationSeparator" w:id="0">
    <w:p w14:paraId="33581E73" w14:textId="77777777" w:rsidR="00B33376" w:rsidRDefault="00B33376"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7720" w14:textId="77777777" w:rsidR="00B33376" w:rsidRDefault="00B33376" w:rsidP="0017219E">
      <w:r>
        <w:separator/>
      </w:r>
    </w:p>
  </w:footnote>
  <w:footnote w:type="continuationSeparator" w:id="0">
    <w:p w14:paraId="7B3D6B50" w14:textId="77777777" w:rsidR="00B33376" w:rsidRDefault="00B33376"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3843743">
    <w:abstractNumId w:val="1"/>
  </w:num>
  <w:num w:numId="2" w16cid:durableId="16524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840DF"/>
    <w:rsid w:val="00095D76"/>
    <w:rsid w:val="000B38A7"/>
    <w:rsid w:val="000F4EA0"/>
    <w:rsid w:val="00117923"/>
    <w:rsid w:val="0017219E"/>
    <w:rsid w:val="001820CF"/>
    <w:rsid w:val="001A1C38"/>
    <w:rsid w:val="001D10A8"/>
    <w:rsid w:val="001D4227"/>
    <w:rsid w:val="002E5F57"/>
    <w:rsid w:val="002E6A3C"/>
    <w:rsid w:val="0032564E"/>
    <w:rsid w:val="0034687F"/>
    <w:rsid w:val="003478BC"/>
    <w:rsid w:val="0035502A"/>
    <w:rsid w:val="00355C4D"/>
    <w:rsid w:val="0037453D"/>
    <w:rsid w:val="003A2BE6"/>
    <w:rsid w:val="003A445B"/>
    <w:rsid w:val="00494B1E"/>
    <w:rsid w:val="00500957"/>
    <w:rsid w:val="00517EAD"/>
    <w:rsid w:val="00551211"/>
    <w:rsid w:val="0057279D"/>
    <w:rsid w:val="00630F1C"/>
    <w:rsid w:val="0063514D"/>
    <w:rsid w:val="00650A5C"/>
    <w:rsid w:val="00751E9C"/>
    <w:rsid w:val="007524FF"/>
    <w:rsid w:val="007B788B"/>
    <w:rsid w:val="007D4B0F"/>
    <w:rsid w:val="007E6F93"/>
    <w:rsid w:val="00817BD0"/>
    <w:rsid w:val="00826A8D"/>
    <w:rsid w:val="00951436"/>
    <w:rsid w:val="00996344"/>
    <w:rsid w:val="00A01F5F"/>
    <w:rsid w:val="00A73AB4"/>
    <w:rsid w:val="00AA35F2"/>
    <w:rsid w:val="00AE4E15"/>
    <w:rsid w:val="00B0223B"/>
    <w:rsid w:val="00B200D2"/>
    <w:rsid w:val="00B33376"/>
    <w:rsid w:val="00B642C7"/>
    <w:rsid w:val="00B70BF5"/>
    <w:rsid w:val="00B770BD"/>
    <w:rsid w:val="00B95A9C"/>
    <w:rsid w:val="00BB62DA"/>
    <w:rsid w:val="00BD6CDA"/>
    <w:rsid w:val="00CE0CFE"/>
    <w:rsid w:val="00D24BA3"/>
    <w:rsid w:val="00D616AD"/>
    <w:rsid w:val="00D908CE"/>
    <w:rsid w:val="00DA3B0A"/>
    <w:rsid w:val="00DA4ED6"/>
    <w:rsid w:val="00E00166"/>
    <w:rsid w:val="00E677B9"/>
    <w:rsid w:val="00EB4E58"/>
    <w:rsid w:val="00ED30FE"/>
    <w:rsid w:val="00F92472"/>
    <w:rsid w:val="00FD1129"/>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1264</Words>
  <Characters>1287</Characters>
  <Application>Microsoft Office Word</Application>
  <DocSecurity>0</DocSecurity>
  <Lines>147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 寛子</cp:lastModifiedBy>
  <cp:revision>4</cp:revision>
  <cp:lastPrinted>2026-03-13T03:19:00Z</cp:lastPrinted>
  <dcterms:created xsi:type="dcterms:W3CDTF">2026-03-13T02:05:00Z</dcterms:created>
  <dcterms:modified xsi:type="dcterms:W3CDTF">2026-03-13T03:35:00Z</dcterms:modified>
</cp:coreProperties>
</file>